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bookmarkStart w:id="0" w:name="_GoBack"/>
      <w:bookmarkStart w:id="1" w:name="_GoBack"/>
      <w:bookmarkEnd w:id="1"/>
    </w:p>
    <w:p>
      <w:pPr>
        <w:pStyle w:val="Normal"/>
        <w:jc w:val="right"/>
        <w:rPr>
          <w:rFonts w:ascii="Times New Roman" w:hAnsi="Times New Roman" w:cs="Times New Roman"/>
          <w:b w:val="false"/>
          <w:b w:val="false"/>
          <w:sz w:val="28"/>
          <w:szCs w:val="28"/>
        </w:rPr>
      </w:pPr>
      <w:r>
        <w:rPr>
          <w:rStyle w:val="Style13"/>
          <w:rFonts w:cs="Times New Roman" w:ascii="Times New Roman" w:hAnsi="Times New Roman"/>
          <w:b w:val="false"/>
          <w:sz w:val="28"/>
          <w:szCs w:val="28"/>
        </w:rPr>
        <w:t>Приложение 9</w:t>
        <w:br/>
        <w:t xml:space="preserve">к </w:t>
      </w:r>
      <w:hyperlink w:anchor="sub_1000">
        <w:r>
          <w:rPr>
            <w:rFonts w:ascii="Times New Roman" w:hAnsi="Times New Roman"/>
            <w:bCs/>
            <w:color w:val="000000"/>
            <w:sz w:val="28"/>
            <w:szCs w:val="28"/>
          </w:rPr>
          <w:t>государственной программе</w:t>
        </w:r>
      </w:hyperlink>
      <w:r>
        <w:rPr>
          <w:rStyle w:val="Style13"/>
          <w:rFonts w:cs="Times New Roman" w:ascii="Times New Roman" w:hAnsi="Times New Roman"/>
          <w:b w:val="false"/>
          <w:sz w:val="28"/>
          <w:szCs w:val="28"/>
        </w:rPr>
        <w:br/>
        <w:t>"Развитие физической культуры</w:t>
        <w:br/>
        <w:t>и спорта Брянской области"</w:t>
      </w:r>
      <w:bookmarkStart w:id="2" w:name="sub_20000"/>
      <w:bookmarkEnd w:id="2"/>
    </w:p>
    <w:p>
      <w:pPr>
        <w:pStyle w:val="Normal"/>
        <w:rPr>
          <w:rFonts w:ascii="Times New Roman" w:hAnsi="Times New Roman" w:cs="Times New Roman"/>
          <w:sz w:val="28"/>
          <w:szCs w:val="28"/>
        </w:rPr>
      </w:pPr>
      <w:r>
        <w:rPr>
          <w:rFonts w:cs="Times New Roman" w:ascii="Times New Roman" w:hAnsi="Times New Roman"/>
          <w:sz w:val="28"/>
          <w:szCs w:val="28"/>
        </w:rPr>
      </w:r>
    </w:p>
    <w:p>
      <w:pPr>
        <w:pStyle w:val="1"/>
        <w:rPr>
          <w:rFonts w:ascii="Times New Roman" w:hAnsi="Times New Roman" w:cs="Times New Roman"/>
          <w:sz w:val="28"/>
          <w:szCs w:val="28"/>
        </w:rPr>
      </w:pPr>
      <w:r>
        <w:rPr>
          <w:rFonts w:cs="Times New Roman" w:ascii="Times New Roman" w:hAnsi="Times New Roman"/>
          <w:sz w:val="28"/>
          <w:szCs w:val="28"/>
        </w:rPr>
        <w:t>Порядок</w:t>
        <w:br/>
        <w:t>предоставления 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 xml:space="preserve">1. Настоящий Порядок, разработанный в соответствии с </w:t>
      </w:r>
      <w:hyperlink r:id="rId2">
        <w:r>
          <w:rPr>
            <w:rFonts w:ascii="Times New Roman" w:hAnsi="Times New Roman"/>
            <w:color w:val="000000"/>
            <w:sz w:val="28"/>
            <w:szCs w:val="28"/>
          </w:rPr>
          <w:t>Правилами</w:t>
        </w:r>
      </w:hyperlink>
      <w:r>
        <w:rPr>
          <w:rFonts w:cs="Times New Roman" w:ascii="Times New Roman" w:hAnsi="Times New Roman"/>
          <w:color w:val="000000"/>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w:t>
      </w:r>
      <w:hyperlink r:id="rId3">
        <w:r>
          <w:rPr>
            <w:rFonts w:ascii="Times New Roman" w:hAnsi="Times New Roman"/>
            <w:color w:val="000000"/>
            <w:sz w:val="28"/>
            <w:szCs w:val="28"/>
          </w:rPr>
          <w:t>постановлением</w:t>
        </w:r>
      </w:hyperlink>
      <w:r>
        <w:rPr>
          <w:rFonts w:cs="Times New Roman" w:ascii="Times New Roman" w:hAnsi="Times New Roman"/>
          <w:color w:val="000000"/>
          <w:sz w:val="28"/>
          <w:szCs w:val="28"/>
        </w:rPr>
        <w:t xml:space="preserve"> Правительства Брянской области от 23 июля 2018 года № 3</w:t>
      </w:r>
      <w:r>
        <w:rPr>
          <w:rFonts w:cs="Times New Roman" w:ascii="Times New Roman" w:hAnsi="Times New Roman"/>
          <w:sz w:val="28"/>
          <w:szCs w:val="28"/>
        </w:rPr>
        <w:t>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(далее – субсидии) образований 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pPr>
        <w:pStyle w:val="Normal"/>
        <w:rPr>
          <w:rFonts w:ascii="Times New Roman" w:hAnsi="Times New Roman" w:cs="Times New Roman"/>
          <w:sz w:val="28"/>
          <w:szCs w:val="28"/>
        </w:rPr>
      </w:pPr>
      <w:r>
        <w:rPr>
          <w:rFonts w:cs="Times New Roman" w:ascii="Times New Roman" w:hAnsi="Times New Roman"/>
          <w:sz w:val="28"/>
          <w:szCs w:val="28"/>
        </w:rPr>
        <w:t>2. Субсидии предоставляются бюджетам муниципальных образований Брянской области в рамках реализации регионального проекта «Спорт – норма жизни (Брянская область)» государственной программы «Развитие физической культуры и спорта Брянской области» на следующие цели:</w:t>
      </w:r>
      <w:bookmarkStart w:id="3" w:name="sub_20002"/>
      <w:bookmarkEnd w:id="3"/>
    </w:p>
    <w:p>
      <w:pPr>
        <w:pStyle w:val="Normal"/>
        <w:rPr>
          <w:rFonts w:ascii="Times New Roman" w:hAnsi="Times New Roman" w:cs="Times New Roman"/>
          <w:sz w:val="28"/>
          <w:szCs w:val="28"/>
        </w:rPr>
      </w:pPr>
      <w:r>
        <w:rPr>
          <w:rFonts w:cs="Times New Roman" w:ascii="Times New Roman" w:hAnsi="Times New Roman"/>
          <w:sz w:val="28"/>
          <w:szCs w:val="28"/>
        </w:rPr>
        <w:t>строительство объектов физической культуры и спорта;</w:t>
      </w:r>
    </w:p>
    <w:p>
      <w:pPr>
        <w:pStyle w:val="Normal"/>
        <w:rPr>
          <w:rFonts w:ascii="Times New Roman" w:hAnsi="Times New Roman" w:cs="Times New Roman"/>
          <w:sz w:val="28"/>
          <w:szCs w:val="28"/>
        </w:rPr>
      </w:pPr>
      <w:r>
        <w:rPr>
          <w:rFonts w:cs="Times New Roman" w:ascii="Times New Roman" w:hAnsi="Times New Roman"/>
          <w:sz w:val="28"/>
          <w:szCs w:val="28"/>
        </w:rPr>
        <w:t>реконструкция объектов физической культуры и спорта.</w:t>
      </w:r>
    </w:p>
    <w:p>
      <w:pPr>
        <w:pStyle w:val="Normal"/>
        <w:rPr>
          <w:rFonts w:ascii="Times New Roman" w:hAnsi="Times New Roman" w:cs="Times New Roman"/>
          <w:color w:val="000000"/>
          <w:sz w:val="28"/>
          <w:szCs w:val="28"/>
        </w:rPr>
      </w:pPr>
      <w:bookmarkStart w:id="4" w:name="sub_20003"/>
      <w:bookmarkEnd w:id="4"/>
      <w:r>
        <w:rPr>
          <w:rFonts w:cs="Times New Roman" w:ascii="Times New Roman" w:hAnsi="Times New Roman"/>
          <w:sz w:val="28"/>
          <w:szCs w:val="28"/>
        </w:rPr>
        <w:t xml:space="preserve">3. Условием предоставления субсидии бюджетам муниципальных образований на цели, предусмотренные </w:t>
      </w:r>
      <w:hyperlink w:anchor="sub_20002">
        <w:r>
          <w:rPr>
            <w:rFonts w:ascii="Times New Roman" w:hAnsi="Times New Roman"/>
            <w:color w:val="000000"/>
            <w:sz w:val="28"/>
            <w:szCs w:val="28"/>
          </w:rPr>
          <w:t>пунктом 2</w:t>
        </w:r>
      </w:hyperlink>
      <w:r>
        <w:rPr>
          <w:rFonts w:cs="Times New Roman" w:ascii="Times New Roman" w:hAnsi="Times New Roman"/>
          <w:color w:val="000000"/>
          <w:sz w:val="28"/>
          <w:szCs w:val="28"/>
        </w:rPr>
        <w:t xml:space="preserve"> настоящего Порядка является наличие ассигнований в бюджетах муниципальных образований в объеме не менее 1% объема расходного обязательства муниципального образования.</w:t>
      </w:r>
    </w:p>
    <w:p>
      <w:pPr>
        <w:pStyle w:val="Normal"/>
        <w:rPr>
          <w:rFonts w:ascii="Times New Roman" w:hAnsi="Times New Roman" w:cs="Times New Roman"/>
          <w:color w:val="000000"/>
          <w:sz w:val="28"/>
          <w:szCs w:val="28"/>
        </w:rPr>
      </w:pPr>
      <w:bookmarkStart w:id="5" w:name="sub_20003"/>
      <w:bookmarkStart w:id="6" w:name="sub_20004"/>
      <w:bookmarkEnd w:id="5"/>
      <w:bookmarkEnd w:id="6"/>
      <w:r>
        <w:rPr>
          <w:rFonts w:cs="Times New Roman" w:ascii="Times New Roman" w:hAnsi="Times New Roman"/>
          <w:color w:val="000000"/>
          <w:sz w:val="28"/>
          <w:szCs w:val="28"/>
        </w:rPr>
        <w:t xml:space="preserve">4. Уровень софинансирования расходных обязательств муниципальных образований, указанных в </w:t>
      </w:r>
      <w:hyperlink w:anchor="sub_20002">
        <w:r>
          <w:rPr>
            <w:rFonts w:ascii="Times New Roman" w:hAnsi="Times New Roman"/>
            <w:color w:val="000000"/>
            <w:sz w:val="28"/>
            <w:szCs w:val="28"/>
          </w:rPr>
          <w:t>пункте 2</w:t>
        </w:r>
      </w:hyperlink>
      <w:r>
        <w:rPr>
          <w:rFonts w:cs="Times New Roman" w:ascii="Times New Roman" w:hAnsi="Times New Roman"/>
          <w:color w:val="000000"/>
          <w:sz w:val="28"/>
          <w:szCs w:val="28"/>
        </w:rPr>
        <w:t xml:space="preserve"> настоящего Порядка, за счёт субсидий из областного бюджета не может превышать 99% объема расходного обязательства муниципального образования.</w:t>
      </w:r>
    </w:p>
    <w:p>
      <w:pPr>
        <w:pStyle w:val="Normal"/>
        <w:rPr>
          <w:rFonts w:ascii="Times New Roman" w:hAnsi="Times New Roman" w:cs="Times New Roman"/>
          <w:color w:val="000000"/>
          <w:sz w:val="28"/>
          <w:szCs w:val="28"/>
        </w:rPr>
      </w:pPr>
      <w:bookmarkStart w:id="7" w:name="sub_20004"/>
      <w:bookmarkStart w:id="8" w:name="sub_20005"/>
      <w:bookmarkEnd w:id="7"/>
      <w:bookmarkEnd w:id="8"/>
      <w:r>
        <w:rPr>
          <w:rFonts w:cs="Times New Roman" w:ascii="Times New Roman" w:hAnsi="Times New Roman"/>
          <w:color w:val="000000"/>
          <w:sz w:val="28"/>
          <w:szCs w:val="28"/>
        </w:rPr>
        <w:t>5. Главным распорядителем средств областного бюджета вышеуказанных расходов является департамент строительства Брянской области.</w:t>
      </w:r>
    </w:p>
    <w:p>
      <w:pPr>
        <w:pStyle w:val="Normal"/>
        <w:rPr>
          <w:rFonts w:ascii="Times New Roman" w:hAnsi="Times New Roman" w:cs="Times New Roman"/>
          <w:color w:val="000000"/>
          <w:sz w:val="28"/>
          <w:szCs w:val="28"/>
        </w:rPr>
      </w:pPr>
      <w:bookmarkStart w:id="9" w:name="sub_20005"/>
      <w:bookmarkStart w:id="10" w:name="sub_20006"/>
      <w:bookmarkEnd w:id="9"/>
      <w:bookmarkEnd w:id="10"/>
      <w:r>
        <w:rPr>
          <w:rFonts w:cs="Times New Roman" w:ascii="Times New Roman" w:hAnsi="Times New Roman"/>
          <w:color w:val="000000"/>
          <w:sz w:val="28"/>
          <w:szCs w:val="28"/>
        </w:rPr>
        <w:t>6. Отбор муниципальных образований Брянской области осуществляет департамент строительства Брянской области.</w:t>
      </w:r>
    </w:p>
    <w:p>
      <w:pPr>
        <w:pStyle w:val="Normal"/>
        <w:rPr>
          <w:rFonts w:ascii="Times New Roman" w:hAnsi="Times New Roman" w:cs="Times New Roman"/>
          <w:color w:val="000000"/>
          <w:sz w:val="28"/>
          <w:szCs w:val="28"/>
        </w:rPr>
      </w:pPr>
      <w:bookmarkStart w:id="11" w:name="sub_20006"/>
      <w:bookmarkEnd w:id="11"/>
      <w:r>
        <w:rPr>
          <w:rFonts w:cs="Times New Roman" w:ascii="Times New Roman" w:hAnsi="Times New Roman"/>
          <w:color w:val="000000"/>
          <w:sz w:val="28"/>
          <w:szCs w:val="28"/>
        </w:rPr>
        <w:t>7. Критериями отбора муниципальных образований для предоставления субсидий являются:</w:t>
      </w:r>
      <w:bookmarkStart w:id="12" w:name="sub_20007"/>
      <w:bookmarkEnd w:id="12"/>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отсутствие в муниципальном образовании спортивных учреждений; либо наличие учреждений, имеющих высокий процент износа; либо не соответствующих действующим нормам и требованиям.</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после утверждения региональной адресной инвестиционной программы на соответствующий финансовый год;</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наличие объектов незавершенного строительства.</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 xml:space="preserve">8. Главный распорядитель бюджетных средств с учетом критериев, перечисленных в </w:t>
      </w:r>
      <w:hyperlink w:anchor="sub_20007">
        <w:r>
          <w:rPr>
            <w:rFonts w:ascii="Times New Roman" w:hAnsi="Times New Roman"/>
            <w:color w:val="000000"/>
            <w:sz w:val="28"/>
            <w:szCs w:val="28"/>
          </w:rPr>
          <w:t>пункте 7</w:t>
        </w:r>
      </w:hyperlink>
      <w:r>
        <w:rPr>
          <w:rFonts w:cs="Times New Roman" w:ascii="Times New Roman" w:hAnsi="Times New Roman"/>
          <w:color w:val="000000"/>
          <w:sz w:val="28"/>
          <w:szCs w:val="28"/>
        </w:rPr>
        <w:t xml:space="preserve"> настоящего Порядка, определяет перечень муниципальных образований для предоставления субсидий на цели, указанные в </w:t>
      </w:r>
      <w:hyperlink w:anchor="sub_20002">
        <w:r>
          <w:rPr>
            <w:rFonts w:ascii="Times New Roman" w:hAnsi="Times New Roman"/>
            <w:color w:val="000000"/>
            <w:sz w:val="28"/>
            <w:szCs w:val="28"/>
          </w:rPr>
          <w:t>пункте 2</w:t>
        </w:r>
      </w:hyperlink>
      <w:r>
        <w:rPr>
          <w:rFonts w:cs="Times New Roman" w:ascii="Times New Roman" w:hAnsi="Times New Roman"/>
          <w:color w:val="000000"/>
          <w:sz w:val="28"/>
          <w:szCs w:val="28"/>
        </w:rPr>
        <w:t xml:space="preserve"> настоящего Порядка.</w:t>
      </w:r>
      <w:bookmarkStart w:id="13" w:name="sub_20008"/>
      <w:bookmarkEnd w:id="13"/>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w:t>
      </w:r>
      <w:hyperlink r:id="rId4">
        <w:r>
          <w:rPr>
            <w:rFonts w:ascii="Times New Roman" w:hAnsi="Times New Roman"/>
            <w:color w:val="000000"/>
            <w:sz w:val="28"/>
            <w:szCs w:val="28"/>
          </w:rPr>
          <w:t>Законом</w:t>
        </w:r>
      </w:hyperlink>
      <w:r>
        <w:rPr>
          <w:rFonts w:cs="Times New Roman" w:ascii="Times New Roman" w:hAnsi="Times New Roman"/>
          <w:color w:val="000000"/>
          <w:sz w:val="28"/>
          <w:szCs w:val="28"/>
        </w:rPr>
        <w:t xml:space="preserve"> Брянской области от 2 ноября 2016 года № 89-З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pPr>
        <w:pStyle w:val="Normal"/>
        <w:rPr>
          <w:rFonts w:ascii="Times New Roman" w:hAnsi="Times New Roman" w:cs="Times New Roman"/>
          <w:color w:val="000000"/>
          <w:sz w:val="28"/>
          <w:szCs w:val="28"/>
        </w:rPr>
      </w:pPr>
      <w:bookmarkStart w:id="14" w:name="sub_20010"/>
      <w:bookmarkEnd w:id="14"/>
      <w:r>
        <w:rPr>
          <w:rFonts w:cs="Times New Roman" w:ascii="Times New Roman" w:hAnsi="Times New Roman"/>
          <w:color w:val="000000"/>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pPr>
        <w:pStyle w:val="Normal"/>
        <w:rPr>
          <w:rFonts w:ascii="Times New Roman" w:hAnsi="Times New Roman" w:cs="Times New Roman"/>
          <w:color w:val="000000"/>
          <w:sz w:val="28"/>
          <w:szCs w:val="28"/>
        </w:rPr>
      </w:pPr>
      <w:bookmarkStart w:id="15" w:name="sub_20010"/>
      <w:bookmarkStart w:id="16" w:name="sub_20011"/>
      <w:bookmarkEnd w:id="15"/>
      <w:bookmarkEnd w:id="16"/>
      <w:r>
        <w:rPr>
          <w:rFonts w:cs="Times New Roman" w:ascii="Times New Roman" w:hAnsi="Times New Roman"/>
          <w:color w:val="000000"/>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Normal"/>
        <w:rPr>
          <w:rFonts w:ascii="Times New Roman" w:hAnsi="Times New Roman" w:cs="Times New Roman"/>
          <w:color w:val="000000"/>
          <w:sz w:val="28"/>
          <w:szCs w:val="28"/>
        </w:rPr>
      </w:pPr>
      <w:bookmarkStart w:id="17" w:name="sub_20011"/>
      <w:bookmarkStart w:id="18" w:name="sub_20012"/>
      <w:bookmarkEnd w:id="17"/>
      <w:bookmarkEnd w:id="18"/>
      <w:r>
        <w:rPr>
          <w:rFonts w:cs="Times New Roman" w:ascii="Times New Roman" w:hAnsi="Times New Roman"/>
          <w:color w:val="000000"/>
          <w:sz w:val="28"/>
          <w:szCs w:val="28"/>
        </w:rPr>
        <w:t xml:space="preserve">12. Администрации муниципальных образований осуществляют закупку работ на реализацию целей, предусмотренных </w:t>
      </w:r>
      <w:hyperlink w:anchor="sub_20002">
        <w:r>
          <w:rPr>
            <w:rFonts w:ascii="Times New Roman" w:hAnsi="Times New Roman"/>
            <w:color w:val="000000"/>
            <w:sz w:val="28"/>
            <w:szCs w:val="28"/>
          </w:rPr>
          <w:t>пунктом 2</w:t>
        </w:r>
      </w:hyperlink>
      <w:r>
        <w:rPr>
          <w:rFonts w:cs="Times New Roman" w:ascii="Times New Roman" w:hAnsi="Times New Roman"/>
          <w:color w:val="000000"/>
          <w:sz w:val="28"/>
          <w:szCs w:val="28"/>
        </w:rPr>
        <w:t xml:space="preserve"> настоящего Порядка, в соответствии с </w:t>
      </w:r>
      <w:hyperlink r:id="rId5">
        <w:r>
          <w:rPr>
            <w:rFonts w:ascii="Times New Roman" w:hAnsi="Times New Roman"/>
            <w:color w:val="000000"/>
            <w:sz w:val="28"/>
            <w:szCs w:val="28"/>
          </w:rPr>
          <w:t>Федеральным законом</w:t>
        </w:r>
      </w:hyperlink>
      <w:r>
        <w:rPr>
          <w:rFonts w:cs="Times New Roman" w:ascii="Times New Roman" w:hAnsi="Times New Roman"/>
          <w:color w:val="000000"/>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Normal"/>
        <w:rPr>
          <w:rFonts w:ascii="Times New Roman" w:hAnsi="Times New Roman" w:cs="Times New Roman"/>
          <w:color w:val="000000"/>
          <w:sz w:val="28"/>
          <w:szCs w:val="28"/>
        </w:rPr>
      </w:pPr>
      <w:bookmarkStart w:id="19" w:name="sub_20012"/>
      <w:bookmarkEnd w:id="19"/>
      <w:r>
        <w:rPr>
          <w:rFonts w:cs="Times New Roman" w:ascii="Times New Roman" w:hAnsi="Times New Roman"/>
          <w:color w:val="000000"/>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bookmarkStart w:id="20" w:name="sub_20013"/>
      <w:bookmarkEnd w:id="20"/>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13.1. Показателями результативности использования субсидии являются количество мест, площадь (кв. м) или пропускная способность (посещений в смену, человек в смену) введенных в эксплуатацию спортивных учреждений, процент строительной готовности.</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(результата) предоставления субсидии. Критерием оценки эффективности использования субсидий является достижение значения целевого показателя результативности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 xml:space="preserve">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w:anchor="sub_20131">
        <w:r>
          <w:rPr>
            <w:rFonts w:ascii="Times New Roman" w:hAnsi="Times New Roman"/>
            <w:color w:val="000000"/>
            <w:sz w:val="28"/>
            <w:szCs w:val="28"/>
          </w:rPr>
          <w:t>подпунктом 13.1</w:t>
        </w:r>
      </w:hyperlink>
      <w:r>
        <w:rPr>
          <w:rFonts w:cs="Times New Roman" w:ascii="Times New Roman" w:hAnsi="Times New Roman"/>
          <w:color w:val="000000"/>
          <w:sz w:val="28"/>
          <w:szCs w:val="28"/>
        </w:rPr>
        <w:t xml:space="preserve">, </w:t>
      </w:r>
      <w:hyperlink w:anchor="sub_20132">
        <w:r>
          <w:rPr>
            <w:rFonts w:ascii="Times New Roman" w:hAnsi="Times New Roman"/>
            <w:color w:val="000000"/>
            <w:sz w:val="28"/>
            <w:szCs w:val="28"/>
          </w:rPr>
          <w:t>13.2 пункта 13</w:t>
        </w:r>
      </w:hyperlink>
      <w:r>
        <w:rPr>
          <w:rFonts w:cs="Times New Roman" w:ascii="Times New Roman" w:hAnsi="Times New Roman"/>
          <w:color w:val="000000"/>
          <w:sz w:val="28"/>
          <w:szCs w:val="28"/>
        </w:rPr>
        <w:t xml:space="preserve"> настоящего Порядка,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r>
        <w:rPr/>
        <w:drawing>
          <wp:inline distT="0" distB="0" distL="0" distR="0">
            <wp:extent cx="853440" cy="3429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6"/>
                    <a:stretch>
                      <a:fillRect/>
                    </a:stretch>
                  </pic:blipFill>
                  <pic:spPr bwMode="auto">
                    <a:xfrm>
                      <a:off x="0" y="0"/>
                      <a:ext cx="853440" cy="342900"/>
                    </a:xfrm>
                    <a:prstGeom prst="rect">
                      <a:avLst/>
                    </a:prstGeom>
                  </pic:spPr>
                </pic:pic>
              </a:graphicData>
            </a:graphic>
          </wp:inline>
        </w:drawing>
      </w:r>
      <w:r>
        <w:rPr>
          <w:rFonts w:cs="Times New Roman" w:ascii="Times New Roman" w:hAnsi="Times New Roman"/>
          <w:color w:val="000000"/>
          <w:sz w:val="28"/>
          <w:szCs w:val="28"/>
        </w:rPr>
        <w:t>), рассчитывается по формуле: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w:t>
      </w:r>
      <w:r>
        <w:rPr/>
        <w:drawing>
          <wp:inline distT="0" distB="0" distL="0" distR="0">
            <wp:extent cx="3543300" cy="373380"/>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
                    <pic:cNvPicPr>
                      <a:picLocks noChangeAspect="1" noChangeArrowheads="1"/>
                    </pic:cNvPicPr>
                  </pic:nvPicPr>
                  <pic:blipFill>
                    <a:blip r:embed="rId7"/>
                    <a:stretch>
                      <a:fillRect/>
                    </a:stretch>
                  </pic:blipFill>
                  <pic:spPr bwMode="auto">
                    <a:xfrm>
                      <a:off x="0" y="0"/>
                      <a:ext cx="3543300" cy="373380"/>
                    </a:xfrm>
                    <a:prstGeom prst="rect">
                      <a:avLst/>
                    </a:prstGeom>
                  </pic:spPr>
                </pic:pic>
              </a:graphicData>
            </a:graphic>
          </wp:inline>
        </w:drawing>
      </w:r>
      <w:r>
        <w:rPr>
          <w:rFonts w:cs="Times New Roman" w:ascii="Times New Roman" w:hAnsi="Times New Roman"/>
          <w:color w:val="000000"/>
          <w:sz w:val="28"/>
          <w:szCs w:val="28"/>
        </w:rPr>
        <w:t>", где: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rPr>
          <w:rFonts w:ascii="Times New Roman" w:hAnsi="Times New Roman" w:cs="Times New Roman"/>
          <w:color w:val="000000"/>
          <w:sz w:val="28"/>
          <w:szCs w:val="28"/>
        </w:rPr>
      </w:pPr>
      <w:r>
        <w:rPr/>
        <w:drawing>
          <wp:inline distT="0" distB="0" distL="0" distR="0">
            <wp:extent cx="922020" cy="342900"/>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
                    <pic:cNvPicPr>
                      <a:picLocks noChangeAspect="1" noChangeArrowheads="1"/>
                    </pic:cNvPicPr>
                  </pic:nvPicPr>
                  <pic:blipFill>
                    <a:blip r:embed="rId8"/>
                    <a:stretch>
                      <a:fillRect/>
                    </a:stretch>
                  </pic:blipFill>
                  <pic:spPr bwMode="auto">
                    <a:xfrm>
                      <a:off x="0" y="0"/>
                      <a:ext cx="922020" cy="342900"/>
                    </a:xfrm>
                    <a:prstGeom prst="rect">
                      <a:avLst/>
                    </a:prstGeom>
                  </pic:spPr>
                </pic:pic>
              </a:graphicData>
            </a:graphic>
          </wp:inline>
        </w:drawing>
      </w:r>
      <w:r>
        <w:rPr>
          <w:rFonts w:cs="Times New Roman" w:ascii="Times New Roman" w:hAnsi="Times New Roman"/>
          <w:color w:val="000000"/>
          <w:sz w:val="28"/>
          <w:szCs w:val="28"/>
        </w:rPr>
        <w:t xml:space="preserve"> </w:t>
      </w:r>
      <w:r>
        <w:rPr>
          <w:rFonts w:cs="Times New Roman" w:ascii="Times New Roman" w:hAnsi="Times New Roman"/>
          <w:color w:val="000000"/>
          <w:sz w:val="28"/>
          <w:szCs w:val="28"/>
        </w:rPr>
        <w:t>- размер субсидии, предоставленной бюджету муниципального образования в отчетном финансовом году;</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m - количество показателей результативности, результатов использования субсидии, по которым индекс, отражающий уровень недостижения i-го показателя результативности (результата) использования субсидии, имеет положительное значение;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n - общее количество показателей результативности, результатов использования субсидии;</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k - коэффициент возврата субсидии.</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r>
        <w:rPr/>
        <w:drawing>
          <wp:inline distT="0" distB="0" distL="0" distR="0">
            <wp:extent cx="922020" cy="342900"/>
            <wp:effectExtent l="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
                    <pic:cNvPicPr>
                      <a:picLocks noChangeAspect="1" noChangeArrowheads="1"/>
                    </pic:cNvPicPr>
                  </pic:nvPicPr>
                  <pic:blipFill>
                    <a:blip r:embed="rId9"/>
                    <a:stretch>
                      <a:fillRect/>
                    </a:stretch>
                  </pic:blipFill>
                  <pic:spPr bwMode="auto">
                    <a:xfrm>
                      <a:off x="0" y="0"/>
                      <a:ext cx="922020" cy="342900"/>
                    </a:xfrm>
                    <a:prstGeom prst="rect">
                      <a:avLst/>
                    </a:prstGeom>
                  </pic:spPr>
                </pic:pic>
              </a:graphicData>
            </a:graphic>
          </wp:inline>
        </w:drawing>
      </w:r>
      <w:r>
        <w:rPr>
          <w:rFonts w:cs="Times New Roman" w:ascii="Times New Roman" w:hAnsi="Times New Roman"/>
          <w:color w:val="000000"/>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Коэффициент возврата субсидии рассчитывается по формуле: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ind w:firstLine="698"/>
        <w:jc w:val="center"/>
        <w:rPr>
          <w:rFonts w:ascii="Times New Roman" w:hAnsi="Times New Roman" w:cs="Times New Roman"/>
          <w:color w:val="000000"/>
          <w:sz w:val="28"/>
          <w:szCs w:val="28"/>
        </w:rPr>
      </w:pPr>
      <w:r>
        <w:rPr/>
        <w:drawing>
          <wp:inline distT="0" distB="0" distL="0" distR="0">
            <wp:extent cx="1455420" cy="304800"/>
            <wp:effectExtent l="0" t="0" r="0"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
                    <pic:cNvPicPr>
                      <a:picLocks noChangeAspect="1" noChangeArrowheads="1"/>
                    </pic:cNvPicPr>
                  </pic:nvPicPr>
                  <pic:blipFill>
                    <a:blip r:embed="rId10"/>
                    <a:stretch>
                      <a:fillRect/>
                    </a:stretch>
                  </pic:blipFill>
                  <pic:spPr bwMode="auto">
                    <a:xfrm>
                      <a:off x="0" y="0"/>
                      <a:ext cx="1455420" cy="304800"/>
                    </a:xfrm>
                    <a:prstGeom prst="rect">
                      <a:avLst/>
                    </a:prstGeom>
                  </pic:spPr>
                </pic:pic>
              </a:graphicData>
            </a:graphic>
          </wp:inline>
        </w:drawing>
      </w:r>
      <w:r>
        <w:rPr>
          <w:rFonts w:cs="Times New Roman" w:ascii="Times New Roman" w:hAnsi="Times New Roman"/>
          <w:color w:val="000000"/>
          <w:sz w:val="28"/>
          <w:szCs w:val="28"/>
        </w:rPr>
        <w:t>, где: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Di - индекс, отражающий уровень недостижения i-го показателя результативности (результата) использования субсидии.</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(результата) использования субсидии.</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Индекс, отражающий уровень недостижения i-го показателя результативности (результата) использования субсидии, определяется по формуле: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ind w:firstLine="698"/>
        <w:jc w:val="center"/>
        <w:rPr>
          <w:rFonts w:ascii="Times New Roman" w:hAnsi="Times New Roman" w:cs="Times New Roman"/>
          <w:color w:val="000000"/>
          <w:sz w:val="28"/>
          <w:szCs w:val="28"/>
        </w:rPr>
      </w:pPr>
      <w:r>
        <w:rPr/>
        <w:drawing>
          <wp:inline distT="0" distB="0" distL="0" distR="0">
            <wp:extent cx="1371600" cy="304800"/>
            <wp:effectExtent l="0" t="0" r="0" b="0"/>
            <wp:docPr id="6"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
                    <pic:cNvPicPr>
                      <a:picLocks noChangeAspect="1" noChangeArrowheads="1"/>
                    </pic:cNvPicPr>
                  </pic:nvPicPr>
                  <pic:blipFill>
                    <a:blip r:embed="rId11"/>
                    <a:stretch>
                      <a:fillRect/>
                    </a:stretch>
                  </pic:blipFill>
                  <pic:spPr bwMode="auto">
                    <a:xfrm>
                      <a:off x="0" y="0"/>
                      <a:ext cx="1371600" cy="304800"/>
                    </a:xfrm>
                    <a:prstGeom prst="rect">
                      <a:avLst/>
                    </a:prstGeom>
                  </pic:spPr>
                </pic:pic>
              </a:graphicData>
            </a:graphic>
          </wp:inline>
        </w:drawing>
      </w:r>
      <w:r>
        <w:rPr>
          <w:rFonts w:cs="Times New Roman" w:ascii="Times New Roman" w:hAnsi="Times New Roman"/>
          <w:color w:val="000000"/>
          <w:sz w:val="28"/>
          <w:szCs w:val="28"/>
        </w:rPr>
        <w:t>, где:</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Ti - фактически достигнутое значение i-го показателя результативности (результата) использования субсидии на отчетную дату;</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Si - плановое значение i-го показателя результативности (результата) использования субсидии, установленное соглашением.</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 xml:space="preserve">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w:t>
      </w:r>
      <w:hyperlink w:anchor="sub_20002">
        <w:r>
          <w:rPr>
            <w:rFonts w:ascii="Times New Roman" w:hAnsi="Times New Roman"/>
            <w:color w:val="000000"/>
            <w:sz w:val="28"/>
            <w:szCs w:val="28"/>
          </w:rPr>
          <w:t>пункте 2</w:t>
        </w:r>
      </w:hyperlink>
      <w:r>
        <w:rPr>
          <w:rFonts w:cs="Times New Roman" w:ascii="Times New Roman" w:hAnsi="Times New Roman"/>
          <w:color w:val="000000"/>
          <w:sz w:val="28"/>
          <w:szCs w:val="28"/>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2">
        <w:r>
          <w:rPr>
            <w:rFonts w:ascii="Times New Roman" w:hAnsi="Times New Roman"/>
            <w:color w:val="000000"/>
            <w:sz w:val="28"/>
            <w:szCs w:val="28"/>
          </w:rPr>
          <w:t>пунктом 20</w:t>
        </w:r>
      </w:hyperlink>
      <w:r>
        <w:rPr>
          <w:rFonts w:cs="Times New Roman" w:ascii="Times New Roman" w:hAnsi="Times New Roman"/>
          <w:color w:val="000000"/>
          <w:sz w:val="28"/>
          <w:szCs w:val="28"/>
        </w:rPr>
        <w:t xml:space="preserve"> Правил формирования, предоставления и распределения субсидий.</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w:anchor="sub_20131">
        <w:r>
          <w:rPr>
            <w:rFonts w:ascii="Times New Roman" w:hAnsi="Times New Roman"/>
            <w:color w:val="000000"/>
            <w:sz w:val="28"/>
            <w:szCs w:val="28"/>
          </w:rPr>
          <w:t>подпунктами 13.1</w:t>
        </w:r>
      </w:hyperlink>
      <w:r>
        <w:rPr>
          <w:rFonts w:cs="Times New Roman" w:ascii="Times New Roman" w:hAnsi="Times New Roman"/>
          <w:color w:val="000000"/>
          <w:sz w:val="28"/>
          <w:szCs w:val="28"/>
        </w:rPr>
        <w:t xml:space="preserve">, </w:t>
      </w:r>
      <w:hyperlink w:anchor="sub_20132">
        <w:r>
          <w:rPr>
            <w:rFonts w:ascii="Times New Roman" w:hAnsi="Times New Roman"/>
            <w:color w:val="000000"/>
            <w:sz w:val="28"/>
            <w:szCs w:val="28"/>
          </w:rPr>
          <w:t>13.2</w:t>
        </w:r>
      </w:hyperlink>
      <w:r>
        <w:rPr>
          <w:rFonts w:cs="Times New Roman" w:ascii="Times New Roman" w:hAnsi="Times New Roman"/>
          <w:color w:val="000000"/>
          <w:sz w:val="28"/>
          <w:szCs w:val="28"/>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sub_20015">
        <w:r>
          <w:rPr>
            <w:rFonts w:ascii="Times New Roman" w:hAnsi="Times New Roman"/>
            <w:color w:val="000000"/>
            <w:sz w:val="28"/>
            <w:szCs w:val="28"/>
          </w:rPr>
          <w:t>абзацем первым</w:t>
        </w:r>
      </w:hyperlink>
      <w:r>
        <w:rPr>
          <w:rFonts w:cs="Times New Roman" w:ascii="Times New Roman" w:hAnsi="Times New Roman"/>
          <w:color w:val="000000"/>
          <w:sz w:val="28"/>
          <w:szCs w:val="28"/>
        </w:rPr>
        <w:t xml:space="preserve"> настоящего пункта.</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 xml:space="preserve">16. Освобождение муниципального образования от применения мер ответственности, предусмотренных </w:t>
      </w:r>
      <w:hyperlink w:anchor="sub_20014">
        <w:r>
          <w:rPr>
            <w:rFonts w:ascii="Times New Roman" w:hAnsi="Times New Roman"/>
            <w:color w:val="000000"/>
            <w:sz w:val="28"/>
            <w:szCs w:val="28"/>
          </w:rPr>
          <w:t>пунктами 14</w:t>
        </w:r>
      </w:hyperlink>
      <w:r>
        <w:rPr>
          <w:rFonts w:cs="Times New Roman" w:ascii="Times New Roman" w:hAnsi="Times New Roman"/>
          <w:color w:val="000000"/>
          <w:sz w:val="28"/>
          <w:szCs w:val="28"/>
        </w:rPr>
        <w:t xml:space="preserve">, </w:t>
      </w:r>
      <w:hyperlink w:anchor="sub_20015">
        <w:r>
          <w:rPr>
            <w:rFonts w:ascii="Times New Roman" w:hAnsi="Times New Roman"/>
            <w:color w:val="000000"/>
            <w:sz w:val="28"/>
            <w:szCs w:val="28"/>
          </w:rPr>
          <w:t>15</w:t>
        </w:r>
      </w:hyperlink>
      <w:r>
        <w:rPr>
          <w:rFonts w:cs="Times New Roman" w:ascii="Times New Roman" w:hAnsi="Times New Roman"/>
          <w:color w:val="000000"/>
          <w:sz w:val="28"/>
          <w:szCs w:val="28"/>
        </w:rPr>
        <w:t xml:space="preserve"> настоящего Порядка, в том числе возврата средств в доход областного бюджета, осуществляется в соответствии с </w:t>
      </w:r>
      <w:hyperlink r:id="rId13">
        <w:r>
          <w:rPr>
            <w:rFonts w:ascii="Times New Roman" w:hAnsi="Times New Roman"/>
            <w:color w:val="000000"/>
            <w:sz w:val="28"/>
            <w:szCs w:val="28"/>
          </w:rPr>
          <w:t>пунктом 20</w:t>
        </w:r>
      </w:hyperlink>
      <w:r>
        <w:rPr>
          <w:rFonts w:cs="Times New Roman" w:ascii="Times New Roman" w:hAnsi="Times New Roman"/>
          <w:color w:val="000000"/>
          <w:sz w:val="28"/>
          <w:szCs w:val="28"/>
        </w:rPr>
        <w:t xml:space="preserve"> Правил формирования, предоставления и распределения субсидий.</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bookmarkStart w:id="21" w:name="sub_20017"/>
      <w:bookmarkEnd w:id="21"/>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pPr>
        <w:pStyle w:val="Normal"/>
        <w:rPr>
          <w:rFonts w:ascii="Times New Roman" w:hAnsi="Times New Roman" w:cs="Times New Roman"/>
          <w:color w:val="000000"/>
          <w:sz w:val="28"/>
          <w:szCs w:val="28"/>
        </w:rPr>
      </w:pPr>
      <w:bookmarkStart w:id="22" w:name="sub_20018"/>
      <w:bookmarkEnd w:id="22"/>
      <w:r>
        <w:rPr>
          <w:rFonts w:cs="Times New Roman" w:ascii="Times New Roman" w:hAnsi="Times New Roman"/>
          <w:color w:val="000000"/>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pPr>
        <w:pStyle w:val="Normal"/>
        <w:rPr>
          <w:rFonts w:ascii="Times New Roman" w:hAnsi="Times New Roman" w:cs="Times New Roman"/>
          <w:color w:val="000000"/>
          <w:sz w:val="28"/>
          <w:szCs w:val="28"/>
        </w:rPr>
      </w:pPr>
      <w:bookmarkStart w:id="23" w:name="sub_20018"/>
      <w:bookmarkEnd w:id="23"/>
      <w:r>
        <w:rPr>
          <w:rFonts w:cs="Times New Roman" w:ascii="Times New Roman" w:hAnsi="Times New Roman"/>
          <w:color w:val="000000"/>
          <w:sz w:val="28"/>
          <w:szCs w:val="28"/>
        </w:rPr>
        <w:t xml:space="preserve">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sub_20014">
        <w:r>
          <w:rPr>
            <w:rFonts w:ascii="Times New Roman" w:hAnsi="Times New Roman"/>
            <w:color w:val="000000"/>
            <w:sz w:val="28"/>
            <w:szCs w:val="28"/>
          </w:rPr>
          <w:t>пунктом 14</w:t>
        </w:r>
      </w:hyperlink>
      <w:r>
        <w:rPr>
          <w:rFonts w:cs="Times New Roman" w:ascii="Times New Roman" w:hAnsi="Times New Roman"/>
          <w:color w:val="000000"/>
          <w:sz w:val="28"/>
          <w:szCs w:val="28"/>
        </w:rPr>
        <w:t xml:space="preserve"> и </w:t>
      </w:r>
      <w:hyperlink w:anchor="sub_20015">
        <w:r>
          <w:rPr>
            <w:rFonts w:ascii="Times New Roman" w:hAnsi="Times New Roman"/>
            <w:color w:val="000000"/>
            <w:sz w:val="28"/>
            <w:szCs w:val="28"/>
          </w:rPr>
          <w:t>пунктом 15</w:t>
        </w:r>
      </w:hyperlink>
      <w:r>
        <w:rPr>
          <w:rFonts w:cs="Times New Roman" w:ascii="Times New Roman" w:hAnsi="Times New Roman"/>
          <w:color w:val="000000"/>
          <w:sz w:val="28"/>
          <w:szCs w:val="28"/>
        </w:rPr>
        <w:t xml:space="preserve"> настоящего Порядка, к нему применяются бюджетные меры принуждения, предусмотренные </w:t>
      </w:r>
      <w:hyperlink r:id="rId14">
        <w:r>
          <w:rPr>
            <w:rFonts w:ascii="Times New Roman" w:hAnsi="Times New Roman"/>
            <w:color w:val="000000"/>
            <w:sz w:val="28"/>
            <w:szCs w:val="28"/>
          </w:rPr>
          <w:t>бюджетным законодательством</w:t>
        </w:r>
      </w:hyperlink>
      <w:r>
        <w:rPr>
          <w:rFonts w:cs="Times New Roman" w:ascii="Times New Roman" w:hAnsi="Times New Roman"/>
          <w:color w:val="000000"/>
          <w:sz w:val="28"/>
          <w:szCs w:val="28"/>
        </w:rPr>
        <w:t xml:space="preserve"> Российской Федерации.</w:t>
      </w:r>
      <w:bookmarkStart w:id="24" w:name="sub_20019"/>
      <w:bookmarkEnd w:id="24"/>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Normal"/>
        <w:rPr>
          <w:rFonts w:ascii="Times New Roman" w:hAnsi="Times New Roman" w:cs="Times New Roman"/>
          <w:color w:val="000000"/>
          <w:sz w:val="28"/>
          <w:szCs w:val="28"/>
        </w:rPr>
      </w:pPr>
      <w:bookmarkStart w:id="25" w:name="sub_20020"/>
      <w:bookmarkEnd w:id="25"/>
      <w:r>
        <w:rPr>
          <w:rFonts w:cs="Times New Roman" w:ascii="Times New Roman" w:hAnsi="Times New Roman"/>
          <w:color w:val="000000"/>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rPr>
          <w:rFonts w:ascii="Times New Roman" w:hAnsi="Times New Roman" w:cs="Times New Roman"/>
          <w:color w:val="000000"/>
          <w:sz w:val="28"/>
          <w:szCs w:val="28"/>
        </w:rPr>
      </w:pPr>
      <w:bookmarkStart w:id="26" w:name="sub_20020"/>
      <w:bookmarkEnd w:id="26"/>
      <w:r>
        <w:rPr>
          <w:rFonts w:cs="Times New Roman" w:ascii="Times New Roman" w:hAnsi="Times New Roman"/>
          <w:color w:val="000000"/>
          <w:sz w:val="28"/>
          <w:szCs w:val="28"/>
        </w:rPr>
        <w:t>21. Неиспользованные по состоянию на 1 января очередного финансового года остатки средств субсидии подлежат возврату в областной бюджет.</w:t>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Методика</w:t>
      </w:r>
    </w:p>
    <w:p>
      <w:pPr>
        <w:pStyle w:val="Normal"/>
        <w:jc w:val="center"/>
        <w:rPr>
          <w:rFonts w:ascii="Times New Roman" w:hAnsi="Times New Roman" w:cs="Times New Roman"/>
          <w:sz w:val="28"/>
          <w:szCs w:val="28"/>
        </w:rPr>
      </w:pPr>
      <w:r>
        <w:rPr>
          <w:rFonts w:cs="Times New Roman" w:ascii="Times New Roman" w:hAnsi="Times New Roman"/>
          <w:sz w:val="28"/>
          <w:szCs w:val="28"/>
        </w:rPr>
        <w:t>расчета 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pPr>
        <w:pStyle w:val="Normal"/>
        <w:ind w:firstLine="709"/>
        <w:rPr>
          <w:rFonts w:ascii="Times New Roman" w:hAnsi="Times New Roman" w:cs="Times New Roman"/>
          <w:sz w:val="28"/>
          <w:szCs w:val="28"/>
        </w:rPr>
      </w:pPr>
      <w:r>
        <w:rPr>
          <w:rFonts w:cs="Times New Roman" w:ascii="Times New Roman" w:hAnsi="Times New Roman"/>
          <w:sz w:val="28"/>
          <w:szCs w:val="28"/>
        </w:rPr>
        <w:t>Субсидия распределяется между муниципальными образованиями по следующей формуле:</w:t>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jc w:val="center"/>
        <w:rPr>
          <w:rFonts w:ascii="Times New Roman" w:hAnsi="Times New Roman" w:cs="Times New Roman"/>
          <w:sz w:val="28"/>
          <w:szCs w:val="28"/>
        </w:rPr>
      </w:pPr>
      <w:r>
        <w:rPr>
          <w:rFonts w:cs="Times New Roman" w:ascii="Times New Roman" w:hAnsi="Times New Roman"/>
          <w:sz w:val="28"/>
          <w:szCs w:val="28"/>
        </w:rPr>
        <w:t>Ci = C x Vi / V, где:</w:t>
      </w:r>
    </w:p>
    <w:p>
      <w:pPr>
        <w:pStyle w:val="Normal"/>
        <w:ind w:firstLine="709"/>
        <w:rPr>
          <w:rFonts w:ascii="Times New Roman" w:hAnsi="Times New Roman" w:cs="Times New Roman"/>
          <w:sz w:val="28"/>
          <w:szCs w:val="28"/>
        </w:rPr>
      </w:pPr>
      <w:r>
        <w:rPr>
          <w:rFonts w:cs="Times New Roman" w:ascii="Times New Roman" w:hAnsi="Times New Roman"/>
          <w:sz w:val="28"/>
          <w:szCs w:val="28"/>
        </w:rPr>
      </w:r>
    </w:p>
    <w:p>
      <w:pPr>
        <w:pStyle w:val="Normal"/>
        <w:ind w:firstLine="709"/>
        <w:rPr>
          <w:rFonts w:ascii="Times New Roman" w:hAnsi="Times New Roman" w:cs="Times New Roman"/>
          <w:sz w:val="28"/>
          <w:szCs w:val="28"/>
        </w:rPr>
      </w:pPr>
      <w:r>
        <w:rPr>
          <w:rFonts w:cs="Times New Roman" w:ascii="Times New Roman" w:hAnsi="Times New Roman"/>
          <w:sz w:val="28"/>
          <w:szCs w:val="28"/>
        </w:rPr>
        <w:t>Ci - размер субсидии бюджету i-го муниципального образования;</w:t>
      </w:r>
    </w:p>
    <w:p>
      <w:pPr>
        <w:pStyle w:val="Normal"/>
        <w:ind w:firstLine="709"/>
        <w:rPr>
          <w:rFonts w:ascii="Times New Roman" w:hAnsi="Times New Roman" w:cs="Times New Roman"/>
          <w:sz w:val="28"/>
          <w:szCs w:val="28"/>
        </w:rPr>
      </w:pPr>
      <w:r>
        <w:rPr>
          <w:rFonts w:cs="Times New Roman" w:ascii="Times New Roman" w:hAnsi="Times New Roman"/>
          <w:sz w:val="28"/>
          <w:szCs w:val="28"/>
        </w:rPr>
        <w:t>C - общий объем субсидий, выделяемых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pPr>
        <w:pStyle w:val="Normal"/>
        <w:ind w:firstLine="709"/>
        <w:rPr>
          <w:rFonts w:ascii="Times New Roman" w:hAnsi="Times New Roman" w:cs="Times New Roman"/>
          <w:sz w:val="28"/>
          <w:szCs w:val="28"/>
        </w:rPr>
      </w:pPr>
      <w:r>
        <w:rPr>
          <w:rFonts w:cs="Times New Roman" w:ascii="Times New Roman" w:hAnsi="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pPr>
        <w:pStyle w:val="Normal"/>
        <w:ind w:firstLine="709"/>
        <w:rPr>
          <w:rFonts w:ascii="Times New Roman" w:hAnsi="Times New Roman" w:cs="Times New Roman"/>
          <w:sz w:val="28"/>
          <w:szCs w:val="28"/>
        </w:rPr>
      </w:pPr>
      <w:r>
        <w:rPr>
          <w:rFonts w:cs="Times New Roman" w:ascii="Times New Roman" w:hAnsi="Times New Roman"/>
          <w:sz w:val="28"/>
          <w:szCs w:val="28"/>
        </w:rPr>
        <w:t>Vi - объем средств, необходимый i-му муниципальному образованию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 согласно представленной заявке на выделение субсидий.</w:t>
      </w:r>
      <w:bookmarkStart w:id="27" w:name="sub_20021"/>
      <w:bookmarkEnd w:id="27"/>
    </w:p>
    <w:p>
      <w:pPr>
        <w:pStyle w:val="Normal"/>
        <w:rPr>
          <w:rFonts w:ascii="Times New Roman" w:hAnsi="Times New Roman" w:cs="Times New Roman"/>
          <w:color w:val="000000"/>
          <w:sz w:val="28"/>
          <w:szCs w:val="28"/>
        </w:rPr>
      </w:pPr>
      <w:r>
        <w:rPr/>
      </w:r>
    </w:p>
    <w:sectPr>
      <w:type w:val="nextPage"/>
      <w:pgSz w:w="11906" w:h="16838"/>
      <w:pgMar w:left="1100" w:right="800"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Calibri Light">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embedSystemFonts/>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ind w:firstLine="720"/>
      <w:jc w:val="both"/>
    </w:pPr>
    <w:rPr>
      <w:rFonts w:ascii="Arial" w:hAnsi="Arial" w:cs="Arial" w:eastAsia="Times New Roman"/>
      <w:color w:val="auto"/>
      <w:kern w:val="0"/>
      <w:sz w:val="24"/>
      <w:szCs w:val="24"/>
      <w:lang w:val="ru-RU" w:eastAsia="ru-RU" w:bidi="ar-SA"/>
    </w:rPr>
  </w:style>
  <w:style w:type="paragraph" w:styleId="1">
    <w:name w:val="Heading 1"/>
    <w:basedOn w:val="Normal"/>
    <w:next w:val="Normal"/>
    <w:link w:val="10"/>
    <w:uiPriority w:val="99"/>
    <w:qFormat/>
    <w:pPr>
      <w:spacing w:before="108" w:after="108"/>
      <w:ind w:hanging="0"/>
      <w:jc w:val="center"/>
      <w:outlineLvl w:val="0"/>
    </w:pPr>
    <w:rPr>
      <w:b/>
      <w:bCs/>
      <w:color w:val="26282F"/>
    </w:rPr>
  </w:style>
  <w:style w:type="character" w:styleId="DefaultParagraphFont" w:default="1">
    <w:name w:val="Default Paragraph Font"/>
    <w:uiPriority w:val="1"/>
    <w:semiHidden/>
    <w:unhideWhenUsed/>
    <w:qFormat/>
    <w:rPr/>
  </w:style>
  <w:style w:type="character" w:styleId="11" w:customStyle="1">
    <w:name w:val="Заголовок 1 Знак"/>
    <w:link w:val="1"/>
    <w:uiPriority w:val="9"/>
    <w:qFormat/>
    <w:locked/>
    <w:rPr>
      <w:rFonts w:ascii="Calibri Light" w:hAnsi="Calibri Light" w:eastAsia="Times New Roman" w:cs="Times New Roman"/>
      <w:b/>
      <w:bCs/>
      <w:kern w:val="2"/>
      <w:sz w:val="32"/>
      <w:szCs w:val="32"/>
    </w:rPr>
  </w:style>
  <w:style w:type="character" w:styleId="Style13" w:customStyle="1">
    <w:name w:val="Цветовое выделение"/>
    <w:uiPriority w:val="99"/>
    <w:qFormat/>
    <w:rPr>
      <w:b/>
      <w:color w:val="26282F"/>
    </w:rPr>
  </w:style>
  <w:style w:type="character" w:styleId="Style14" w:customStyle="1">
    <w:name w:val="Гипертекстовая ссылка"/>
    <w:uiPriority w:val="99"/>
    <w:qFormat/>
    <w:rPr>
      <w:rFonts w:cs="Times New Roman"/>
      <w:b w:val="false"/>
      <w:color w:val="106BBE"/>
    </w:rPr>
  </w:style>
  <w:style w:type="character" w:styleId="Style15" w:customStyle="1">
    <w:name w:val="Цветовое выделение для Текст"/>
    <w:uiPriority w:val="99"/>
    <w:qFormat/>
    <w:rPr/>
  </w:style>
  <w:style w:type="character" w:styleId="Style16">
    <w:name w:val="Интернет-ссылка"/>
    <w:rPr>
      <w:color w:val="000080"/>
      <w:u w:val="single"/>
      <w:lang w:val="zxx" w:eastAsia="zxx" w:bidi="zxx"/>
    </w:rPr>
  </w:style>
  <w:style w:type="paragraph" w:styleId="Style17">
    <w:name w:val="Заголовок"/>
    <w:basedOn w:val="Normal"/>
    <w:next w:val="Style18"/>
    <w:qFormat/>
    <w:pPr>
      <w:keepNext w:val="true"/>
      <w:spacing w:before="240" w:after="120"/>
    </w:pPr>
    <w:rPr>
      <w:rFonts w:ascii="Liberation Sans" w:hAnsi="Liberation Sans" w:eastAsia="Microsoft YaHei" w:cs="Arial Unicode MS"/>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Unicode MS"/>
    </w:rPr>
  </w:style>
  <w:style w:type="paragraph" w:styleId="Style20">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Текст (справка)"/>
    <w:basedOn w:val="Normal"/>
    <w:next w:val="Normal"/>
    <w:uiPriority w:val="99"/>
    <w:qFormat/>
    <w:pPr>
      <w:ind w:left="170" w:right="170" w:hanging="0"/>
      <w:jc w:val="left"/>
    </w:pPr>
    <w:rPr/>
  </w:style>
  <w:style w:type="paragraph" w:styleId="Style23" w:customStyle="1">
    <w:name w:val="Комментарий"/>
    <w:basedOn w:val="Style22"/>
    <w:next w:val="Normal"/>
    <w:uiPriority w:val="99"/>
    <w:qFormat/>
    <w:pPr>
      <w:spacing w:before="75" w:after="0"/>
      <w:ind w:left="170" w:right="0" w:hanging="0"/>
      <w:jc w:val="both"/>
    </w:pPr>
    <w:rPr>
      <w:color w:val="353842"/>
      <w:shd w:fill="F0F0F0" w:val="clear"/>
    </w:rPr>
  </w:style>
  <w:style w:type="paragraph" w:styleId="Style24" w:customStyle="1">
    <w:name w:val="Информация об изменениях документа"/>
    <w:basedOn w:val="Style23"/>
    <w:next w:val="Normal"/>
    <w:uiPriority w:val="99"/>
    <w:qFormat/>
    <w:pPr/>
    <w:rPr>
      <w:i/>
      <w:iCs/>
    </w:rPr>
  </w:style>
  <w:style w:type="paragraph" w:styleId="Style25" w:customStyle="1">
    <w:name w:val="Нормальный (таблица)"/>
    <w:basedOn w:val="Normal"/>
    <w:next w:val="Normal"/>
    <w:uiPriority w:val="99"/>
    <w:qFormat/>
    <w:pPr>
      <w:ind w:hanging="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garantf1://42485616.1000" TargetMode="External"/><Relationship Id="rId3" Type="http://schemas.openxmlformats.org/officeDocument/2006/relationships/hyperlink" Target="garantf1://42485616.0" TargetMode="External"/><Relationship Id="rId4" Type="http://schemas.openxmlformats.org/officeDocument/2006/relationships/hyperlink" Target="garantf1://42464158.0" TargetMode="External"/><Relationship Id="rId5" Type="http://schemas.openxmlformats.org/officeDocument/2006/relationships/hyperlink" Target="garantf1://70253464.0" TargetMode="External"/><Relationship Id="rId6" Type="http://schemas.openxmlformats.org/officeDocument/2006/relationships/image" Target="media/image1.wmf"/><Relationship Id="rId7" Type="http://schemas.openxmlformats.org/officeDocument/2006/relationships/image" Target="media/image2.wmf"/><Relationship Id="rId8" Type="http://schemas.openxmlformats.org/officeDocument/2006/relationships/image" Target="media/image3.wmf"/><Relationship Id="rId9" Type="http://schemas.openxmlformats.org/officeDocument/2006/relationships/image" Target="media/image4.wmf"/><Relationship Id="rId10" Type="http://schemas.openxmlformats.org/officeDocument/2006/relationships/image" Target="media/image5.wmf"/><Relationship Id="rId11" Type="http://schemas.openxmlformats.org/officeDocument/2006/relationships/image" Target="media/image6.wmf"/><Relationship Id="rId12" Type="http://schemas.openxmlformats.org/officeDocument/2006/relationships/hyperlink" Target="garantf1://42485616.1020" TargetMode="External"/><Relationship Id="rId13" Type="http://schemas.openxmlformats.org/officeDocument/2006/relationships/hyperlink" Target="garantf1://42485616.1020" TargetMode="External"/><Relationship Id="rId14" Type="http://schemas.openxmlformats.org/officeDocument/2006/relationships/hyperlink" Target="garantf1://12012604.2" TargetMode="Externa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LibreOffice/7.0.1.2$Windows_X86_64 LibreOffice_project/7cbcfc562f6eb6708b5ff7d7397325de9e764452</Application>
  <Pages>3</Pages>
  <Words>1681</Words>
  <Characters>13208</Characters>
  <CharactersWithSpaces>14836</CharactersWithSpaces>
  <Paragraphs>56</Paragraphs>
  <Company>НПП "Гарант-Сервис"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2020-10-28T08:41:00Z</dcterms:created>
  <dc:creator>НПП "Гарант-Сервис"</dc:creator>
  <dc:description>Документ экспортирован из системы ГАРАНТ</dc:description>
  <dc:language>ru-RU</dc:language>
  <cp:lastModifiedBy>GLAVBUH</cp:lastModifiedBy>
  <dcterms:modified xsi:type="dcterms:W3CDTF">2020-10-28T08:41:00Z</dcterms:modified>
  <cp:revision>2</cp:revision>
  <dc:subject/>
  <dc:title>Оглавление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